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0D" w:rsidRDefault="007C3C0D" w:rsidP="007C3C0D">
      <w:pPr>
        <w:spacing w:after="0"/>
        <w:jc w:val="center"/>
        <w:rPr>
          <w:rFonts w:ascii="Book Antiqua" w:hAnsi="Book Antiqua"/>
          <w:b/>
          <w:sz w:val="28"/>
          <w:szCs w:val="28"/>
          <w:u w:val="single"/>
        </w:rPr>
      </w:pPr>
      <w:bookmarkStart w:id="0" w:name="_GoBack"/>
      <w:bookmarkEnd w:id="0"/>
      <w:r>
        <w:rPr>
          <w:rFonts w:ascii="Book Antiqua" w:hAnsi="Book Antiqua"/>
          <w:b/>
          <w:sz w:val="28"/>
          <w:szCs w:val="28"/>
          <w:u w:val="single"/>
        </w:rPr>
        <w:t>Appendix 3</w:t>
      </w:r>
    </w:p>
    <w:p w:rsidR="007C3C0D" w:rsidRDefault="007C3C0D" w:rsidP="007C3C0D">
      <w:pPr>
        <w:spacing w:after="0"/>
        <w:jc w:val="center"/>
        <w:rPr>
          <w:b/>
        </w:rPr>
      </w:pPr>
      <w:r>
        <w:rPr>
          <w:b/>
        </w:rPr>
        <w:t>York ASD Partnership Agreement</w:t>
      </w:r>
    </w:p>
    <w:p w:rsidR="007C3C0D" w:rsidRDefault="007C3C0D" w:rsidP="007C3C0D">
      <w:pPr>
        <w:spacing w:after="0"/>
        <w:jc w:val="center"/>
        <w:rPr>
          <w:b/>
        </w:rPr>
      </w:pPr>
      <w:r>
        <w:rPr>
          <w:b/>
        </w:rPr>
        <w:t>Addendum #3: Financial Trustee</w:t>
      </w:r>
    </w:p>
    <w:p w:rsidR="007C3C0D" w:rsidRDefault="007C3C0D" w:rsidP="007C3C0D">
      <w:pPr>
        <w:spacing w:after="0"/>
        <w:rPr>
          <w:b/>
        </w:rPr>
      </w:pPr>
    </w:p>
    <w:p w:rsidR="007C3C0D" w:rsidRDefault="007C3C0D" w:rsidP="007C3C0D">
      <w:pPr>
        <w:spacing w:after="0"/>
        <w:rPr>
          <w:b/>
        </w:rPr>
      </w:pPr>
      <w:r>
        <w:rPr>
          <w:b/>
        </w:rPr>
        <w:t>Children’s Treatment Network of Simcoe York (CTN) will fulfil the role of financial trustee on behalf of the York ASD Partnership, as per the following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7"/>
        <w:gridCol w:w="7769"/>
      </w:tblGrid>
      <w:tr w:rsidR="007C3C0D" w:rsidTr="007C3C0D">
        <w:tc>
          <w:tcPr>
            <w:tcW w:w="1807" w:type="dxa"/>
            <w:tcBorders>
              <w:top w:val="single" w:sz="4" w:space="0" w:color="000000"/>
              <w:left w:val="single" w:sz="4" w:space="0" w:color="000000"/>
              <w:bottom w:val="single" w:sz="4" w:space="0" w:color="000000"/>
              <w:right w:val="single" w:sz="4" w:space="0" w:color="000000"/>
            </w:tcBorders>
            <w:shd w:val="clear" w:color="auto" w:fill="C6D9F1"/>
            <w:hideMark/>
          </w:tcPr>
          <w:p w:rsidR="007C3C0D" w:rsidRDefault="007C3C0D">
            <w:pPr>
              <w:spacing w:after="0" w:line="240" w:lineRule="auto"/>
              <w:rPr>
                <w:b/>
                <w:sz w:val="20"/>
                <w:szCs w:val="20"/>
              </w:rPr>
            </w:pPr>
            <w:r>
              <w:rPr>
                <w:b/>
                <w:sz w:val="20"/>
                <w:szCs w:val="20"/>
              </w:rPr>
              <w:t>Purpose</w:t>
            </w:r>
          </w:p>
        </w:tc>
        <w:tc>
          <w:tcPr>
            <w:tcW w:w="7769" w:type="dxa"/>
            <w:tcBorders>
              <w:top w:val="single" w:sz="4" w:space="0" w:color="000000"/>
              <w:left w:val="single" w:sz="4" w:space="0" w:color="000000"/>
              <w:bottom w:val="single" w:sz="4" w:space="0" w:color="000000"/>
              <w:right w:val="single" w:sz="4" w:space="0" w:color="000000"/>
            </w:tcBorders>
            <w:shd w:val="clear" w:color="auto" w:fill="C6D9F1"/>
            <w:hideMark/>
          </w:tcPr>
          <w:p w:rsidR="007C3C0D" w:rsidRDefault="007C3C0D">
            <w:pPr>
              <w:spacing w:after="0" w:line="240" w:lineRule="auto"/>
              <w:rPr>
                <w:b/>
                <w:sz w:val="20"/>
                <w:szCs w:val="20"/>
              </w:rPr>
            </w:pPr>
            <w:r>
              <w:rPr>
                <w:b/>
                <w:sz w:val="20"/>
                <w:szCs w:val="20"/>
              </w:rPr>
              <w:t>Financial Trustee/Banker for the York ASD Partnership</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Funds to be managed</w:t>
            </w:r>
          </w:p>
        </w:tc>
        <w:tc>
          <w:tcPr>
            <w:tcW w:w="7769"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All funds received on behalf of the ASD Partnership, inclusive of funding from external sources or cost-sharing within the Partnership for specific purposes</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Time Period</w:t>
            </w:r>
          </w:p>
        </w:tc>
        <w:tc>
          <w:tcPr>
            <w:tcW w:w="7769"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 xml:space="preserve"> August 1, 2010 – September 30, 2011, renewable</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Responsible Partner</w:t>
            </w:r>
          </w:p>
        </w:tc>
        <w:tc>
          <w:tcPr>
            <w:tcW w:w="7769"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 xml:space="preserve">Children’s Treatment Network of Simcoe York </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Guiding References</w:t>
            </w:r>
          </w:p>
        </w:tc>
        <w:tc>
          <w:tcPr>
            <w:tcW w:w="7769" w:type="dxa"/>
            <w:tcBorders>
              <w:top w:val="single" w:sz="4" w:space="0" w:color="000000"/>
              <w:left w:val="single" w:sz="4" w:space="0" w:color="000000"/>
              <w:bottom w:val="single" w:sz="4" w:space="0" w:color="000000"/>
              <w:right w:val="single" w:sz="4" w:space="0" w:color="000000"/>
            </w:tcBorders>
            <w:hideMark/>
          </w:tcPr>
          <w:p w:rsidR="007C3C0D" w:rsidRDefault="007C3C0D" w:rsidP="00375583">
            <w:pPr>
              <w:pStyle w:val="ListParagraph"/>
              <w:numPr>
                <w:ilvl w:val="0"/>
                <w:numId w:val="1"/>
              </w:numPr>
              <w:spacing w:after="0" w:line="240" w:lineRule="auto"/>
              <w:rPr>
                <w:b/>
                <w:sz w:val="20"/>
                <w:szCs w:val="20"/>
              </w:rPr>
            </w:pPr>
            <w:r>
              <w:rPr>
                <w:b/>
                <w:sz w:val="20"/>
                <w:szCs w:val="20"/>
              </w:rPr>
              <w:t>Addendum #1 – Cost Sharing of Project Manager contract</w:t>
            </w:r>
          </w:p>
          <w:p w:rsidR="007C3C0D" w:rsidRDefault="007C3C0D" w:rsidP="00375583">
            <w:pPr>
              <w:pStyle w:val="ListParagraph"/>
              <w:numPr>
                <w:ilvl w:val="0"/>
                <w:numId w:val="1"/>
              </w:numPr>
              <w:spacing w:after="0" w:line="240" w:lineRule="auto"/>
              <w:rPr>
                <w:b/>
                <w:sz w:val="20"/>
                <w:szCs w:val="20"/>
              </w:rPr>
            </w:pPr>
            <w:r>
              <w:rPr>
                <w:b/>
                <w:sz w:val="20"/>
                <w:szCs w:val="20"/>
              </w:rPr>
              <w:t>Addendum #2 – KPAS contract management/PM contract</w:t>
            </w:r>
          </w:p>
          <w:p w:rsidR="007C3C0D" w:rsidRDefault="007C3C0D" w:rsidP="00375583">
            <w:pPr>
              <w:pStyle w:val="ListParagraph"/>
              <w:numPr>
                <w:ilvl w:val="0"/>
                <w:numId w:val="1"/>
              </w:numPr>
              <w:spacing w:after="0" w:line="240" w:lineRule="auto"/>
              <w:rPr>
                <w:b/>
                <w:sz w:val="20"/>
                <w:szCs w:val="20"/>
              </w:rPr>
            </w:pPr>
            <w:r>
              <w:rPr>
                <w:b/>
                <w:sz w:val="20"/>
                <w:szCs w:val="20"/>
              </w:rPr>
              <w:t>Funding Requirements of any grants received, e.g. Autism Speaks</w:t>
            </w:r>
          </w:p>
          <w:p w:rsidR="007C3C0D" w:rsidRDefault="007C3C0D" w:rsidP="00375583">
            <w:pPr>
              <w:pStyle w:val="ListParagraph"/>
              <w:numPr>
                <w:ilvl w:val="0"/>
                <w:numId w:val="1"/>
              </w:numPr>
              <w:spacing w:after="0" w:line="240" w:lineRule="auto"/>
              <w:rPr>
                <w:b/>
                <w:sz w:val="20"/>
                <w:szCs w:val="20"/>
              </w:rPr>
            </w:pPr>
            <w:r>
              <w:rPr>
                <w:b/>
                <w:sz w:val="20"/>
                <w:szCs w:val="20"/>
              </w:rPr>
              <w:t>Partnership Agreement/Strategic Plan</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Supervision/Lead</w:t>
            </w:r>
          </w:p>
        </w:tc>
        <w:tc>
          <w:tcPr>
            <w:tcW w:w="7769"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CTN’s financial services are supplied by  NSM Community Care Access Centre, and overseen by Bill Frampton, CTN’s Infrastructure Director, in concert with Sandy Thurston, CTN’s rep on the ASD Partnership and Steering Group</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Decision-making</w:t>
            </w:r>
          </w:p>
        </w:tc>
        <w:tc>
          <w:tcPr>
            <w:tcW w:w="7769" w:type="dxa"/>
            <w:tcBorders>
              <w:top w:val="single" w:sz="4" w:space="0" w:color="000000"/>
              <w:left w:val="single" w:sz="4" w:space="0" w:color="000000"/>
              <w:bottom w:val="single" w:sz="4" w:space="0" w:color="000000"/>
              <w:right w:val="single" w:sz="4" w:space="0" w:color="000000"/>
            </w:tcBorders>
            <w:hideMark/>
          </w:tcPr>
          <w:p w:rsidR="007C3C0D" w:rsidRDefault="007C3C0D" w:rsidP="00375583">
            <w:pPr>
              <w:pStyle w:val="ListParagraph"/>
              <w:numPr>
                <w:ilvl w:val="0"/>
                <w:numId w:val="2"/>
              </w:numPr>
              <w:spacing w:after="0" w:line="240" w:lineRule="auto"/>
              <w:rPr>
                <w:b/>
                <w:sz w:val="20"/>
                <w:szCs w:val="20"/>
              </w:rPr>
            </w:pPr>
            <w:r>
              <w:rPr>
                <w:b/>
                <w:sz w:val="20"/>
                <w:szCs w:val="20"/>
              </w:rPr>
              <w:t>Approval on the York ASD Partnership’s financials rests with the Partnership</w:t>
            </w:r>
          </w:p>
          <w:p w:rsidR="007C3C0D" w:rsidRDefault="007C3C0D" w:rsidP="00375583">
            <w:pPr>
              <w:pStyle w:val="ListParagraph"/>
              <w:numPr>
                <w:ilvl w:val="0"/>
                <w:numId w:val="2"/>
              </w:numPr>
              <w:spacing w:after="0" w:line="240" w:lineRule="auto"/>
              <w:rPr>
                <w:b/>
                <w:sz w:val="20"/>
                <w:szCs w:val="20"/>
              </w:rPr>
            </w:pPr>
            <w:r>
              <w:rPr>
                <w:b/>
                <w:sz w:val="20"/>
                <w:szCs w:val="20"/>
              </w:rPr>
              <w:t>Based on this approval, regular decision-making is by consensus at the Steering Group</w:t>
            </w:r>
          </w:p>
          <w:p w:rsidR="007C3C0D" w:rsidRDefault="007C3C0D" w:rsidP="00375583">
            <w:pPr>
              <w:pStyle w:val="ListParagraph"/>
              <w:numPr>
                <w:ilvl w:val="0"/>
                <w:numId w:val="2"/>
              </w:numPr>
              <w:spacing w:after="0" w:line="240" w:lineRule="auto"/>
              <w:rPr>
                <w:b/>
                <w:sz w:val="20"/>
                <w:szCs w:val="20"/>
              </w:rPr>
            </w:pPr>
            <w:r>
              <w:rPr>
                <w:b/>
                <w:sz w:val="20"/>
                <w:szCs w:val="20"/>
              </w:rPr>
              <w:t>CTN can only act on Steering Group decisions if the funds are available, taking into account contractual obligations as a priority</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Accountability</w:t>
            </w:r>
          </w:p>
        </w:tc>
        <w:tc>
          <w:tcPr>
            <w:tcW w:w="7769"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CTN is responsible to manage the funds of the York ASD Partnership according to the Partnership’s approvals, and report on a quarterly or as needed basis to the Partnership and the Steering Group</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 xml:space="preserve">Specific Deliverables </w:t>
            </w:r>
          </w:p>
        </w:tc>
        <w:tc>
          <w:tcPr>
            <w:tcW w:w="7769" w:type="dxa"/>
            <w:tcBorders>
              <w:top w:val="single" w:sz="4" w:space="0" w:color="000000"/>
              <w:left w:val="single" w:sz="4" w:space="0" w:color="000000"/>
              <w:bottom w:val="single" w:sz="4" w:space="0" w:color="000000"/>
              <w:right w:val="single" w:sz="4" w:space="0" w:color="000000"/>
            </w:tcBorders>
            <w:hideMark/>
          </w:tcPr>
          <w:p w:rsidR="007C3C0D" w:rsidRDefault="007C3C0D" w:rsidP="00375583">
            <w:pPr>
              <w:pStyle w:val="ListParagraph"/>
              <w:numPr>
                <w:ilvl w:val="0"/>
                <w:numId w:val="3"/>
              </w:numPr>
              <w:spacing w:after="0" w:line="240" w:lineRule="auto"/>
              <w:rPr>
                <w:b/>
                <w:sz w:val="20"/>
                <w:szCs w:val="20"/>
              </w:rPr>
            </w:pPr>
            <w:r>
              <w:rPr>
                <w:b/>
                <w:sz w:val="20"/>
                <w:szCs w:val="20"/>
              </w:rPr>
              <w:t>Invoice, receive and pay out funds on behalf of the York ASD Partnership</w:t>
            </w:r>
          </w:p>
          <w:p w:rsidR="007C3C0D" w:rsidRDefault="007C3C0D" w:rsidP="00375583">
            <w:pPr>
              <w:pStyle w:val="ListParagraph"/>
              <w:numPr>
                <w:ilvl w:val="0"/>
                <w:numId w:val="3"/>
              </w:numPr>
              <w:spacing w:after="0" w:line="240" w:lineRule="auto"/>
              <w:rPr>
                <w:b/>
                <w:sz w:val="20"/>
                <w:szCs w:val="20"/>
              </w:rPr>
            </w:pPr>
            <w:r>
              <w:rPr>
                <w:b/>
                <w:sz w:val="20"/>
                <w:szCs w:val="20"/>
              </w:rPr>
              <w:t>Manage funds  in a separate account for York ASD Partnership &amp; cash flow,  according to CTN’s auditor-approved financial practices</w:t>
            </w:r>
          </w:p>
          <w:p w:rsidR="007C3C0D" w:rsidRDefault="007C3C0D" w:rsidP="00375583">
            <w:pPr>
              <w:pStyle w:val="ListParagraph"/>
              <w:numPr>
                <w:ilvl w:val="0"/>
                <w:numId w:val="3"/>
              </w:numPr>
              <w:spacing w:after="0" w:line="240" w:lineRule="auto"/>
              <w:rPr>
                <w:b/>
                <w:sz w:val="20"/>
                <w:szCs w:val="20"/>
              </w:rPr>
            </w:pPr>
            <w:r>
              <w:rPr>
                <w:b/>
                <w:sz w:val="20"/>
                <w:szCs w:val="20"/>
              </w:rPr>
              <w:t>Provide quarterly statements and assistance with planning projections, or as needed</w:t>
            </w:r>
          </w:p>
          <w:p w:rsidR="007C3C0D" w:rsidRDefault="007C3C0D" w:rsidP="00375583">
            <w:pPr>
              <w:pStyle w:val="ListParagraph"/>
              <w:numPr>
                <w:ilvl w:val="0"/>
                <w:numId w:val="3"/>
              </w:numPr>
              <w:spacing w:after="0" w:line="240" w:lineRule="auto"/>
              <w:rPr>
                <w:b/>
                <w:sz w:val="20"/>
                <w:szCs w:val="20"/>
              </w:rPr>
            </w:pPr>
            <w:r>
              <w:rPr>
                <w:b/>
                <w:sz w:val="20"/>
                <w:szCs w:val="20"/>
              </w:rPr>
              <w:t>Work with the Steering Group and Project Manager to: draft the annual budget; ensure that funding requirements are met and reported according by the Partnership according to the terms of the funding agreements</w:t>
            </w:r>
          </w:p>
          <w:p w:rsidR="007C3C0D" w:rsidRDefault="007C3C0D" w:rsidP="00375583">
            <w:pPr>
              <w:pStyle w:val="ListParagraph"/>
              <w:numPr>
                <w:ilvl w:val="0"/>
                <w:numId w:val="3"/>
              </w:numPr>
              <w:spacing w:after="0" w:line="240" w:lineRule="auto"/>
              <w:rPr>
                <w:b/>
                <w:sz w:val="20"/>
                <w:szCs w:val="20"/>
              </w:rPr>
            </w:pPr>
            <w:r>
              <w:rPr>
                <w:b/>
                <w:sz w:val="20"/>
                <w:szCs w:val="20"/>
              </w:rPr>
              <w:t>Establish contracts or make commitments on behalf of the ASD Partnership as requested by the Partnership</w:t>
            </w: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For Discussion or Exploration</w:t>
            </w:r>
          </w:p>
        </w:tc>
        <w:tc>
          <w:tcPr>
            <w:tcW w:w="7769" w:type="dxa"/>
            <w:tcBorders>
              <w:top w:val="single" w:sz="4" w:space="0" w:color="000000"/>
              <w:left w:val="single" w:sz="4" w:space="0" w:color="000000"/>
              <w:bottom w:val="single" w:sz="4" w:space="0" w:color="000000"/>
              <w:right w:val="single" w:sz="4" w:space="0" w:color="000000"/>
            </w:tcBorders>
          </w:tcPr>
          <w:p w:rsidR="007C3C0D" w:rsidRDefault="007C3C0D" w:rsidP="00375583">
            <w:pPr>
              <w:pStyle w:val="ListParagraph"/>
              <w:numPr>
                <w:ilvl w:val="0"/>
                <w:numId w:val="3"/>
              </w:numPr>
              <w:spacing w:after="0" w:line="240" w:lineRule="auto"/>
              <w:rPr>
                <w:b/>
                <w:sz w:val="20"/>
                <w:szCs w:val="20"/>
              </w:rPr>
            </w:pPr>
            <w:r>
              <w:rPr>
                <w:b/>
                <w:sz w:val="20"/>
                <w:szCs w:val="20"/>
              </w:rPr>
              <w:t>Providing charitable receipts  (see Coalition-New Path)</w:t>
            </w:r>
          </w:p>
          <w:p w:rsidR="007C3C0D" w:rsidRDefault="007C3C0D">
            <w:pPr>
              <w:pStyle w:val="ListParagraph"/>
              <w:spacing w:after="0" w:line="240" w:lineRule="auto"/>
              <w:ind w:left="360"/>
              <w:rPr>
                <w:b/>
                <w:sz w:val="20"/>
                <w:szCs w:val="20"/>
              </w:rPr>
            </w:pPr>
          </w:p>
        </w:tc>
      </w:tr>
      <w:tr w:rsidR="007C3C0D" w:rsidTr="007C3C0D">
        <w:tc>
          <w:tcPr>
            <w:tcW w:w="1807" w:type="dxa"/>
            <w:tcBorders>
              <w:top w:val="single" w:sz="4" w:space="0" w:color="000000"/>
              <w:left w:val="single" w:sz="4" w:space="0" w:color="000000"/>
              <w:bottom w:val="single" w:sz="4" w:space="0" w:color="000000"/>
              <w:right w:val="single" w:sz="4" w:space="0" w:color="000000"/>
            </w:tcBorders>
            <w:hideMark/>
          </w:tcPr>
          <w:p w:rsidR="007C3C0D" w:rsidRDefault="007C3C0D">
            <w:pPr>
              <w:spacing w:after="0" w:line="240" w:lineRule="auto"/>
              <w:rPr>
                <w:b/>
                <w:sz w:val="20"/>
                <w:szCs w:val="20"/>
              </w:rPr>
            </w:pPr>
            <w:r>
              <w:rPr>
                <w:b/>
                <w:sz w:val="20"/>
                <w:szCs w:val="20"/>
              </w:rPr>
              <w:t>Not included</w:t>
            </w:r>
          </w:p>
        </w:tc>
        <w:tc>
          <w:tcPr>
            <w:tcW w:w="7769" w:type="dxa"/>
            <w:tcBorders>
              <w:top w:val="single" w:sz="4" w:space="0" w:color="000000"/>
              <w:left w:val="single" w:sz="4" w:space="0" w:color="000000"/>
              <w:bottom w:val="single" w:sz="4" w:space="0" w:color="000000"/>
              <w:right w:val="single" w:sz="4" w:space="0" w:color="000000"/>
            </w:tcBorders>
          </w:tcPr>
          <w:p w:rsidR="007C3C0D" w:rsidRDefault="007C3C0D" w:rsidP="00375583">
            <w:pPr>
              <w:pStyle w:val="ListParagraph"/>
              <w:numPr>
                <w:ilvl w:val="0"/>
                <w:numId w:val="4"/>
              </w:numPr>
              <w:spacing w:after="0" w:line="240" w:lineRule="auto"/>
              <w:rPr>
                <w:b/>
                <w:sz w:val="20"/>
                <w:szCs w:val="20"/>
              </w:rPr>
            </w:pPr>
            <w:r>
              <w:rPr>
                <w:b/>
                <w:sz w:val="20"/>
                <w:szCs w:val="20"/>
              </w:rPr>
              <w:t xml:space="preserve">The financial trustee role does not include responsibility for raising funds on behalf of the ASD Partnership, other than as shared by all members.  </w:t>
            </w:r>
          </w:p>
          <w:p w:rsidR="007C3C0D" w:rsidRDefault="007C3C0D" w:rsidP="00375583">
            <w:pPr>
              <w:pStyle w:val="ListParagraph"/>
              <w:numPr>
                <w:ilvl w:val="0"/>
                <w:numId w:val="4"/>
              </w:numPr>
              <w:spacing w:after="0" w:line="240" w:lineRule="auto"/>
              <w:rPr>
                <w:b/>
                <w:sz w:val="20"/>
                <w:szCs w:val="20"/>
              </w:rPr>
            </w:pPr>
            <w:r>
              <w:rPr>
                <w:b/>
                <w:sz w:val="20"/>
                <w:szCs w:val="20"/>
              </w:rPr>
              <w:t xml:space="preserve">If a separate audit or other extraordinary expense is required for the York ASD Partnership, CTN </w:t>
            </w:r>
            <w:proofErr w:type="gramStart"/>
            <w:r>
              <w:rPr>
                <w:b/>
                <w:sz w:val="20"/>
                <w:szCs w:val="20"/>
              </w:rPr>
              <w:t>will ,</w:t>
            </w:r>
            <w:proofErr w:type="gramEnd"/>
            <w:r>
              <w:rPr>
                <w:b/>
                <w:sz w:val="20"/>
                <w:szCs w:val="20"/>
              </w:rPr>
              <w:t xml:space="preserve"> with prior notice, recover the cost from the Partnership.</w:t>
            </w:r>
          </w:p>
          <w:p w:rsidR="007C3C0D" w:rsidRDefault="007C3C0D">
            <w:pPr>
              <w:pStyle w:val="ListParagraph"/>
              <w:spacing w:after="0" w:line="240" w:lineRule="auto"/>
              <w:ind w:left="360"/>
              <w:rPr>
                <w:b/>
                <w:sz w:val="20"/>
                <w:szCs w:val="20"/>
              </w:rPr>
            </w:pPr>
          </w:p>
        </w:tc>
      </w:tr>
    </w:tbl>
    <w:p w:rsidR="007C3C0D" w:rsidRDefault="007C3C0D" w:rsidP="007C3C0D">
      <w:r>
        <w:t>__________________</w:t>
      </w:r>
      <w:r>
        <w:tab/>
      </w:r>
      <w:r>
        <w:tab/>
        <w:t>___________________________________________________________</w:t>
      </w:r>
    </w:p>
    <w:p w:rsidR="007C3C0D" w:rsidRDefault="007C3C0D" w:rsidP="007C3C0D">
      <w:r>
        <w:t>Date</w:t>
      </w:r>
      <w:r>
        <w:tab/>
      </w:r>
      <w:r>
        <w:tab/>
      </w:r>
      <w:r>
        <w:tab/>
      </w:r>
      <w:r>
        <w:tab/>
        <w:t xml:space="preserve">CEO, Children’s Treatment Network Simcoe York </w:t>
      </w:r>
    </w:p>
    <w:p w:rsidR="007C3C0D" w:rsidRDefault="007C3C0D" w:rsidP="007C3C0D">
      <w:r>
        <w:tab/>
      </w:r>
      <w:r>
        <w:tab/>
      </w:r>
      <w:r>
        <w:tab/>
      </w:r>
      <w:r>
        <w:tab/>
        <w:t>___________________________________________________________</w:t>
      </w:r>
    </w:p>
    <w:p w:rsidR="007C3C0D" w:rsidRDefault="007C3C0D" w:rsidP="007C3C0D">
      <w:r>
        <w:tab/>
      </w:r>
      <w:r>
        <w:tab/>
      </w:r>
      <w:r>
        <w:tab/>
      </w:r>
      <w:r>
        <w:tab/>
        <w:t>Chair, York ASD Partnership</w:t>
      </w:r>
    </w:p>
    <w:p w:rsidR="007C3C0D" w:rsidRDefault="007C3C0D" w:rsidP="007C3C0D"/>
    <w:p w:rsidR="00A65718" w:rsidRDefault="00A65718"/>
    <w:sectPr w:rsidR="00A65718" w:rsidSect="00A657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349B8"/>
    <w:multiLevelType w:val="hybridMultilevel"/>
    <w:tmpl w:val="9A4A9E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77E23B9"/>
    <w:multiLevelType w:val="hybridMultilevel"/>
    <w:tmpl w:val="32565C42"/>
    <w:lvl w:ilvl="0" w:tplc="10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6B9B5986"/>
    <w:multiLevelType w:val="hybridMultilevel"/>
    <w:tmpl w:val="527013C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192BF7"/>
    <w:multiLevelType w:val="hybridMultilevel"/>
    <w:tmpl w:val="B98A5D3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0D"/>
    <w:rsid w:val="000E0B8D"/>
    <w:rsid w:val="00190323"/>
    <w:rsid w:val="001A3C3B"/>
    <w:rsid w:val="007A4300"/>
    <w:rsid w:val="007C3C0D"/>
    <w:rsid w:val="00976554"/>
    <w:rsid w:val="00A65718"/>
    <w:rsid w:val="00CA163E"/>
    <w:rsid w:val="00D509B2"/>
    <w:rsid w:val="00DE43E5"/>
    <w:rsid w:val="00EA7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DA9D7-170C-40B1-B22C-92F79CD6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0D"/>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nwalker</dc:creator>
  <cp:lastModifiedBy>Susan Taylor</cp:lastModifiedBy>
  <cp:revision>2</cp:revision>
  <dcterms:created xsi:type="dcterms:W3CDTF">2014-11-27T18:45:00Z</dcterms:created>
  <dcterms:modified xsi:type="dcterms:W3CDTF">2014-11-27T18:45:00Z</dcterms:modified>
</cp:coreProperties>
</file>